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1"/>
        <w:rPr>
          <w:b/>
          <w:sz w:val="28"/>
          <w:szCs w:val="28"/>
        </w:rPr>
      </w:pPr>
      <w:r>
        <w:rPr>
          <w:rFonts w:cs="Calibri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21855" cy="899992"/>
                <wp:effectExtent l="0" t="0" r="0" b="0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0246334" name="Picture 2" descr="C:\Users\fsv\Desktop\ССЫЛКИ и ПАПКИ\Упрощенный логотип Росреестра (новый 2025г)\Logo horizontal\Logo black horizontal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rot="0" flipH="0" flipV="0">
                          <a:off x="0" y="0"/>
                          <a:ext cx="2221853" cy="89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4.95pt;height:70.87pt;mso-wrap-distance-left:0.00pt;mso-wrap-distance-top:0.00pt;mso-wrap-distance-right:0.00pt;mso-wrap-distance-bottom:0.00pt;rotation:0;" stroked="f">
                <v:path textboxrect="0,0,0,0"/>
                <v:imagedata r:id="rId8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1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В Правительство внесён законопроект Росреестра, упрощающий механизм оформления прав на общее имущество СНТ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Росреестр внёс в Правительство РФ законопроект, разработанный в целях создания упрощенного механизма оформления прав на общее имущество СНТ. Изменения позволят сократить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временные и финансовые затраты садоводов и облегчить процедуру передачи общего имущества в пользование иным лицам или организациям - например, при проведении социальной газификации СНТ. Об этом сообщил статс-секретарь – заместитель руководителя Росреестра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Алексей Бутовецкий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Сегодня по гражданскому законодательству и Закону № 217-ФЗ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«О ведении гражданами садоводства 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созданное или приобретенное общее имущество СНТ передается в общую долевую собственность садоводов - собственников садовых участков в границах территории садоводства.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«В то же время процедура оформления общего имущества СНТ сегодня затруднена, так как садоводы должны для этого провести общее собр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ание членов СНТ, рассчитать доли и оформить в Росреестре право общей долевой собственности на имущество общего пользования. Законопроект предусматривает, что право собственности садоводов на общее имущество СНТ будет возникать в силу закона с момента его п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остановки на кадастровый учет в Росреестре - по аналогии с общим имуществом собственников помещений в многоквартирных домах. То есть права на такое имущество возникают с момента постановки на кадастровый учет при отсутствии их государственной регистрации»,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- отметил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Алексей Бутовецкий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Изменения существенно упрощают процедуру оформления прав на общее имущество СНТ. Садоводам больше 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 нужно будет тратить время на обращение в уполномоченный орган за решением о предоставлении такого участка в долевую собственность. Также не понадобятся процедуры, связанные с проведением общих собраний СНТ, расчетом долей и оформлением прав в Росреестре.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«У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прощённый порядок оформления прав на общее имущество СНТ действительно должен сократить временные и финансовые издержки садоводов и облегчить практические вопросы — например, передачу участков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или общих объектов для проведения социальной газификации, изменения границ товарищест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а при включении новых участков с согласия их собственников. Ва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жно, чтобы новые правила были прозрачными, с защитой прав членов СНТ и механизмами контроля, чтобы исключить злоупотребления при передаче имущества третьим лицам. В целом — шаг в пользу практичности и поддержки дачных сообществ при условии чётких процедур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з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аконодательного регулирования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»,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отметила заместитель руководителя Управления Росреестра по Новосибирской области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Наталья Ивчатова.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мнению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з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аместител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я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руководителя департамента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имущества и земельных отношений Новосибирской области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- начальник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а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отдела реализации перераспределенных полномочий по распоряжению земельными участками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Павла Комарова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овый законопроект упростит и ускорит получение гражданами прав на земельные участки общего пользования в садовом товариществе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Достаточно будет сформировать такой участок, повторное заявление подавать не потребуется. Порядок приобретения прав станет понятнее и доступнее, что облегчит оформление о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бъектов общего пользования в СНТ».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Законопроект также предлагает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усовершенствовать регулирование в случаях изменения границ СНТ и включения в него новых участков. К примеру, для размещения объектов общего пользования или садовых участков, чьи собственники пожелали вступить в товарищество.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В частности, предусмотрена необходимость получения согласия собственников участков, которые СНТ планируе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 включить в свои границы. Это позволит защитить их права, а также избежать в будущем оспаривания проектов межевания территории и решений общих собраний СНТ в отношении таких лиц (например, при возложении на них обязанности по содержанию общего имущества).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Напомним, что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бщее имущество СНТ – это имущество, предназначенное для использования всеми правообладателями земельных участков на территории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адоводства. Сюда относится вся земля в СНТ, за исключением садовых участков. На ней могут располагаться дороги, инженерные коммуникации (электрические сети, газо- и водопроводы и т.д.), места для сбора бытовых отходов, спортивные площадки и иное имущество.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31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831"/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-41909</wp:posOffset>
                </wp:positionH>
                <wp:positionV relativeFrom="paragraph">
                  <wp:posOffset>90170</wp:posOffset>
                </wp:positionV>
                <wp:extent cx="6229350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29350" cy="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0"/>
                            <a:gd name="gd4" fmla="val 21600"/>
                            <a:gd name="gd5" fmla="+- gd3 21600 0"/>
                            <a:gd name="gd6" fmla="+- gd4 0 0"/>
                            <a:gd name="gd7" fmla="val 21600"/>
                            <a:gd name="gd8" fmla="val 0"/>
                          </a:gdLst>
                          <a:ahLst/>
                          <a:cxnLst/>
                          <a:rect l="0" t="0" r="r" b="b"/>
                          <a:pathLst>
                            <a:path w="21600" h="2160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524288;o:allowoverlap:true;o:allowincell:true;mso-position-horizontal-relative:text;margin-left:-3.30pt;mso-position-horizontal:absolute;mso-position-vertical-relative:text;margin-top:7.10pt;mso-position-vertical:absolute;width:490.50pt;height:0.00pt;mso-wrap-distance-left:9.00pt;mso-wrap-distance-top:0.00pt;mso-wrap-distance-right:9.00pt;mso-wrap-distance-bottom:0.00pt;visibility:visible;" path="m0,0l0,100000l100000,100000l100000,0xe" coordsize="100000,100000" filled="f" strokecolor="#0070C0">
                <v:path textboxrect="0,0,100000,100000"/>
              </v:shape>
            </w:pict>
          </mc:Fallback>
        </mc:AlternateContent>
      </w:r>
      <w:r>
        <w:rPr>
          <w:rFonts w:ascii="Segoe UI" w:hAnsi="Segoe UI" w:cs="Segoe UI"/>
          <w:b/>
          <w:bCs/>
          <w:i/>
          <w:iCs/>
          <w:color w:val="0070c0"/>
        </w:rPr>
      </w:r>
      <w:r>
        <w:rPr>
          <w:rFonts w:ascii="Segoe UI" w:hAnsi="Segoe UI" w:cs="Segoe UI"/>
          <w:b/>
          <w:bCs/>
          <w:i/>
          <w:iCs/>
          <w:color w:val="0070c0"/>
        </w:rPr>
      </w:r>
    </w:p>
    <w:p>
      <w:pPr>
        <w:pStyle w:val="831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Росреестра по Новосибирской области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831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</w:t>
      </w:r>
      <w:r>
        <w:rPr>
          <w:rFonts w:ascii="Segoe UI" w:hAnsi="Segoe UI" w:cs="Segoe UI"/>
          <w:sz w:val="18"/>
          <w:szCs w:val="18"/>
        </w:rPr>
        <w:t xml:space="preserve">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Рягузова.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831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831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 xml:space="preserve">Контакты для СМИ:</w:t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831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Росреестра по Новосибирской области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831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г.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Державина, д. 28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831"/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Электронная почта: </w:t>
      </w:r>
      <w:r>
        <w:rPr>
          <w:rFonts w:ascii="Segoe UI" w:hAnsi="Segoe UI" w:cs="Segoe UI"/>
          <w:color w:val="000000"/>
          <w:sz w:val="18"/>
          <w:szCs w:val="18"/>
        </w:rPr>
      </w:r>
      <w:r>
        <w:rPr>
          <w:rFonts w:ascii="Segoe UI" w:hAnsi="Segoe UI" w:cs="Segoe UI"/>
          <w:color w:val="000000"/>
          <w:sz w:val="18"/>
          <w:szCs w:val="18"/>
        </w:rPr>
      </w:r>
    </w:p>
    <w:p>
      <w:pPr>
        <w:pStyle w:val="831"/>
        <w:jc w:val="both"/>
        <w:rPr>
          <w:rFonts w:ascii="Segoe UI" w:hAnsi="Segoe UI" w:cs="Segoe UI"/>
          <w:color w:val="000000"/>
          <w:sz w:val="16"/>
          <w:szCs w:val="18"/>
        </w:rPr>
      </w:pPr>
      <w:r>
        <w:fldChar w:fldCharType="begin"/>
      </w:r>
      <w:r>
        <w:instrText xml:space="preserve"> HYPERLINK "mailto:oko@r54.rosreestr.ru" </w:instrText>
      </w:r>
      <w:r>
        <w:fldChar w:fldCharType="separate"/>
      </w:r>
      <w:r>
        <w:rPr>
          <w:rStyle w:val="838"/>
          <w:rFonts w:ascii="Segoe UI" w:hAnsi="Segoe UI" w:cs="Segoe UI"/>
          <w:sz w:val="18"/>
          <w:szCs w:val="20"/>
          <w:lang w:val="en-US"/>
        </w:rPr>
        <w:t xml:space="preserve">oko@r</w:t>
      </w:r>
      <w:r>
        <w:rPr>
          <w:rStyle w:val="838"/>
          <w:rFonts w:ascii="Segoe UI" w:hAnsi="Segoe UI" w:cs="Segoe UI"/>
          <w:sz w:val="18"/>
          <w:szCs w:val="20"/>
        </w:rPr>
        <w:t xml:space="preserve">54</w:t>
      </w:r>
      <w:r>
        <w:rPr>
          <w:rStyle w:val="838"/>
          <w:rFonts w:ascii="Segoe UI" w:hAnsi="Segoe UI" w:cs="Segoe UI"/>
          <w:sz w:val="18"/>
          <w:szCs w:val="20"/>
          <w:lang w:val="en-US"/>
        </w:rPr>
        <w:t xml:space="preserve">.rosreestr.ru</w:t>
      </w:r>
      <w:r>
        <w:rPr>
          <w:rStyle w:val="838"/>
          <w:rFonts w:ascii="Segoe UI" w:hAnsi="Segoe UI" w:cs="Segoe UI"/>
          <w:sz w:val="18"/>
          <w:szCs w:val="20"/>
          <w:lang w:val="en-US"/>
        </w:rPr>
        <w:fldChar w:fldCharType="end"/>
      </w:r>
      <w:r>
        <w:rPr>
          <w:rFonts w:ascii="Segoe UI" w:hAnsi="Segoe UI" w:cs="Segoe UI"/>
          <w:color w:val="000000"/>
          <w:sz w:val="16"/>
          <w:szCs w:val="18"/>
          <w:lang w:val="en-US"/>
        </w:rPr>
        <w:t xml:space="preserve"> </w:t>
      </w:r>
      <w:r>
        <w:rPr>
          <w:rFonts w:ascii="Segoe UI" w:hAnsi="Segoe UI" w:cs="Segoe UI"/>
          <w:color w:val="000000"/>
          <w:sz w:val="16"/>
          <w:szCs w:val="18"/>
        </w:rPr>
      </w:r>
      <w:r>
        <w:rPr>
          <w:rFonts w:ascii="Segoe UI" w:hAnsi="Segoe UI" w:cs="Segoe UI"/>
          <w:color w:val="000000"/>
          <w:sz w:val="16"/>
          <w:szCs w:val="18"/>
        </w:rPr>
      </w:r>
    </w:p>
    <w:p>
      <w:pPr>
        <w:pStyle w:val="831"/>
        <w:jc w:val="both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Сайт: </w:t>
      </w:r>
      <w:r>
        <w:fldChar w:fldCharType="begin"/>
      </w:r>
      <w:r>
        <w:instrText xml:space="preserve"> HYPERLINK "https://rosreestr.gov.ru/" </w:instrText>
      </w:r>
      <w:r>
        <w:fldChar w:fldCharType="separate"/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t xml:space="preserve">Росреестр</w:t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</w:p>
    <w:p>
      <w:pPr>
        <w:pStyle w:val="831"/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r>
        <w:fldChar w:fldCharType="begin"/>
      </w:r>
      <w:r>
        <w:instrText xml:space="preserve"> HYPERLINK "https://vk.com/rosreestr_nsk" </w:instrText>
      </w:r>
      <w:r>
        <w:fldChar w:fldCharType="separate"/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t xml:space="preserve">ВКонтакте</w:t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r>
        <w:fldChar w:fldCharType="begin"/>
      </w:r>
      <w:r>
        <w:instrText xml:space="preserve"> HYPERLINK "https://ok.ru/group/70000000987860" </w:instrText>
      </w:r>
      <w:r>
        <w:fldChar w:fldCharType="separate"/>
      </w:r>
      <w:r>
        <w:rPr>
          <w:rStyle w:val="838"/>
          <w:rFonts w:ascii="Segoe UI" w:hAnsi="Segoe UI" w:cs="Segoe UI"/>
          <w:sz w:val="18"/>
          <w:szCs w:val="18"/>
        </w:rPr>
        <w:t xml:space="preserve">Одноклассники</w:t>
      </w:r>
      <w:r>
        <w:rPr>
          <w:rStyle w:val="838"/>
          <w:rFonts w:ascii="Segoe UI" w:hAnsi="Segoe UI" w:cs="Segoe UI"/>
          <w:sz w:val="18"/>
          <w:szCs w:val="18"/>
        </w:rPr>
        <w:fldChar w:fldCharType="end"/>
      </w:r>
      <w:r>
        <w:rPr>
          <w:rStyle w:val="838"/>
          <w:rFonts w:ascii="Segoe UI" w:hAnsi="Segoe UI" w:cs="Segoe UI"/>
          <w:sz w:val="18"/>
          <w:szCs w:val="18"/>
        </w:rPr>
        <w:t xml:space="preserve">, </w:t>
      </w:r>
      <w:r>
        <w:fldChar w:fldCharType="begin"/>
      </w:r>
      <w:r>
        <w:instrText xml:space="preserve"> HYPERLINK "https://dzen.ru/rosreestr_nsk" </w:instrText>
      </w:r>
      <w:r>
        <w:fldChar w:fldCharType="separate"/>
      </w:r>
      <w:r>
        <w:rPr>
          <w:rStyle w:val="838"/>
          <w:rFonts w:ascii="Segoe UI" w:hAnsi="Segoe UI" w:cs="Segoe UI"/>
          <w:sz w:val="20"/>
          <w:szCs w:val="20"/>
          <w:lang w:val="en-US"/>
        </w:rPr>
        <w:t xml:space="preserve">Яндекс</w:t>
      </w:r>
      <w:r>
        <w:rPr>
          <w:rStyle w:val="838"/>
          <w:rFonts w:ascii="Segoe UI" w:hAnsi="Segoe UI" w:cs="Segoe UI"/>
          <w:sz w:val="20"/>
          <w:szCs w:val="20"/>
        </w:rPr>
        <w:t xml:space="preserve">.</w:t>
      </w:r>
      <w:r>
        <w:rPr>
          <w:rStyle w:val="838"/>
          <w:rFonts w:ascii="Segoe UI" w:hAnsi="Segoe UI" w:cs="Segoe UI"/>
          <w:sz w:val="20"/>
          <w:szCs w:val="20"/>
          <w:lang w:val="en-US"/>
        </w:rPr>
        <w:t xml:space="preserve">Дзен</w:t>
      </w:r>
      <w:r>
        <w:rPr>
          <w:rStyle w:val="838"/>
          <w:rFonts w:ascii="Segoe UI" w:hAnsi="Segoe UI" w:cs="Segoe UI"/>
          <w:sz w:val="20"/>
          <w:szCs w:val="20"/>
          <w:lang w:val="en-US"/>
        </w:rPr>
        <w:fldChar w:fldCharType="end"/>
      </w:r>
      <w:r>
        <w:rPr>
          <w:rStyle w:val="838"/>
          <w:rFonts w:ascii="Segoe UI" w:hAnsi="Segoe UI" w:cs="Segoe UI"/>
          <w:sz w:val="20"/>
          <w:szCs w:val="20"/>
        </w:rPr>
        <w:t xml:space="preserve">, </w:t>
      </w:r>
      <w:r>
        <w:fldChar w:fldCharType="begin"/>
      </w:r>
      <w:r>
        <w:instrText xml:space="preserve"> HYPERLINK "https://t.me/rosreestr_nsk" </w:instrText>
      </w:r>
      <w:r>
        <w:fldChar w:fldCharType="separate"/>
      </w:r>
      <w:r>
        <w:rPr>
          <w:rStyle w:val="838"/>
          <w:rFonts w:ascii="Segoe UI" w:hAnsi="Segoe UI" w:cs="Segoe UI"/>
          <w:sz w:val="20"/>
        </w:rPr>
        <w:t xml:space="preserve">Телеграм</w:t>
      </w:r>
      <w:r>
        <w:rPr>
          <w:rStyle w:val="838"/>
          <w:rFonts w:ascii="Segoe UI" w:hAnsi="Segoe UI" w:cs="Segoe UI"/>
          <w:sz w:val="20"/>
        </w:rPr>
        <w:fldChar w:fldCharType="end"/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Quattrocento Sans">
    <w:panose1 w:val="02000603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rmal (Web)"/>
    <w:basedOn w:val="83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36">
    <w:name w:val="Table Grid"/>
    <w:basedOn w:val="83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7">
    <w:name w:val="Strong"/>
    <w:basedOn w:val="832"/>
    <w:uiPriority w:val="22"/>
    <w:qFormat/>
    <w:rPr>
      <w:b/>
      <w:bCs/>
    </w:rPr>
  </w:style>
  <w:style w:type="character" w:styleId="838" w:customStyle="1">
    <w:name w:val="Гиперссылка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</dc:creator>
  <cp:keywords/>
  <dc:description/>
  <cp:revision>10</cp:revision>
  <dcterms:created xsi:type="dcterms:W3CDTF">2026-02-05T02:21:00Z</dcterms:created>
  <dcterms:modified xsi:type="dcterms:W3CDTF">2026-02-05T05:46:54Z</dcterms:modified>
</cp:coreProperties>
</file>